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1680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4355"/>
        <w:gridCol w:w="1543"/>
        <w:gridCol w:w="4101"/>
        <w:gridCol w:w="587"/>
        <w:gridCol w:w="594"/>
        <w:gridCol w:w="4100"/>
        <w:gridCol w:w="4100"/>
        <w:gridCol w:w="4100"/>
        <w:gridCol w:w="4100"/>
        <w:gridCol w:w="4100"/>
      </w:tblGrid>
      <w:tr w:rsidR="00CA27D8" w:rsidRPr="00D75ED2" w:rsidTr="00CA27D8">
        <w:trPr>
          <w:trHeight w:val="1948"/>
        </w:trPr>
        <w:tc>
          <w:tcPr>
            <w:tcW w:w="4440" w:type="dxa"/>
            <w:tcBorders>
              <w:bottom w:val="single" w:sz="4" w:space="0" w:color="auto"/>
            </w:tcBorders>
            <w:hideMark/>
          </w:tcPr>
          <w:p w:rsidR="00CA27D8" w:rsidRDefault="00CA27D8" w:rsidP="00AB0A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27D8" w:rsidRPr="003D77E9" w:rsidRDefault="00CA27D8" w:rsidP="00AB0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7E9">
              <w:rPr>
                <w:rFonts w:ascii="Times New Roman" w:hAnsi="Times New Roman"/>
                <w:sz w:val="24"/>
                <w:szCs w:val="24"/>
              </w:rPr>
              <w:t>БАШКОРТОСТАН РЕСПУБЛИКА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Һ</w:t>
            </w:r>
            <w:r w:rsidRPr="003D77E9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CA27D8" w:rsidRPr="003D77E9" w:rsidRDefault="00CA27D8" w:rsidP="00AB0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7E9">
              <w:rPr>
                <w:rFonts w:ascii="Times New Roman" w:hAnsi="Times New Roman"/>
                <w:sz w:val="24"/>
                <w:szCs w:val="24"/>
              </w:rPr>
              <w:t>МИШК</w:t>
            </w:r>
            <w:r>
              <w:rPr>
                <w:rFonts w:ascii="Arial" w:hAnsi="Arial" w:cs="Arial"/>
                <w:sz w:val="24"/>
                <w:szCs w:val="24"/>
                <w:lang w:val="ba-RU"/>
              </w:rPr>
              <w:t>Ә</w:t>
            </w:r>
            <w:r w:rsidRPr="003D77E9">
              <w:rPr>
                <w:rFonts w:ascii="Times New Roman" w:hAnsi="Times New Roman"/>
                <w:sz w:val="24"/>
                <w:szCs w:val="24"/>
              </w:rPr>
              <w:t xml:space="preserve"> РАЙОНЫ</w:t>
            </w:r>
          </w:p>
          <w:p w:rsidR="00CA27D8" w:rsidRPr="005851BE" w:rsidRDefault="00CA27D8" w:rsidP="00AB0AF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3D77E9">
              <w:rPr>
                <w:rFonts w:ascii="Times New Roman" w:hAnsi="Times New Roman"/>
                <w:sz w:val="24"/>
                <w:szCs w:val="24"/>
              </w:rPr>
              <w:t>МУНИЦИПАЛЬ РАЙОНЫНЫ</w:t>
            </w:r>
            <w:r>
              <w:rPr>
                <w:rFonts w:ascii="Arial" w:hAnsi="Arial" w:cs="Arial"/>
                <w:sz w:val="24"/>
                <w:szCs w:val="24"/>
                <w:lang w:val="ba-RU"/>
              </w:rPr>
              <w:t>Ң</w:t>
            </w:r>
          </w:p>
          <w:p w:rsidR="00CA27D8" w:rsidRPr="003D77E9" w:rsidRDefault="00CA27D8" w:rsidP="00AB0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7E9">
              <w:rPr>
                <w:rFonts w:ascii="Times New Roman" w:hAnsi="Times New Roman"/>
                <w:sz w:val="24"/>
                <w:szCs w:val="24"/>
              </w:rPr>
              <w:t>УРЪЯЗЫ</w:t>
            </w:r>
          </w:p>
          <w:p w:rsidR="00CA27D8" w:rsidRPr="003D77E9" w:rsidRDefault="00CA27D8" w:rsidP="00AB0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7E9">
              <w:rPr>
                <w:rFonts w:ascii="Times New Roman" w:hAnsi="Times New Roman"/>
                <w:sz w:val="24"/>
                <w:szCs w:val="24"/>
              </w:rPr>
              <w:t>АУЛЫ СОВЕТЫ</w:t>
            </w:r>
          </w:p>
          <w:p w:rsidR="00CA27D8" w:rsidRPr="003D77E9" w:rsidRDefault="00CA27D8" w:rsidP="00AB0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7E9">
              <w:rPr>
                <w:rFonts w:ascii="Times New Roman" w:hAnsi="Times New Roman"/>
                <w:sz w:val="24"/>
                <w:szCs w:val="24"/>
              </w:rPr>
              <w:t>АУЫЛ БИЛ</w:t>
            </w:r>
            <w:r>
              <w:rPr>
                <w:rFonts w:ascii="Arial" w:hAnsi="Arial" w:cs="Arial"/>
                <w:sz w:val="24"/>
                <w:szCs w:val="24"/>
                <w:lang w:val="ba-RU"/>
              </w:rPr>
              <w:t>Ә</w:t>
            </w:r>
            <w:r w:rsidRPr="003D77E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Arial" w:hAnsi="Arial" w:cs="Arial"/>
                <w:sz w:val="24"/>
                <w:szCs w:val="24"/>
                <w:lang w:val="ba-RU"/>
              </w:rPr>
              <w:t>Ә</w:t>
            </w:r>
            <w:r w:rsidRPr="003D77E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  <w:lang w:val="ba-RU"/>
              </w:rPr>
              <w:t>Һ</w:t>
            </w:r>
            <w:r w:rsidRPr="003D77E9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CA27D8" w:rsidRDefault="00CA27D8" w:rsidP="00AB0AF1">
            <w:pPr>
              <w:pStyle w:val="a3"/>
              <w:jc w:val="center"/>
              <w:rPr>
                <w:rFonts w:ascii="Times Cyr Bash Normal" w:hAnsi="Times Cyr Bash Norm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СОВЕТЫ</w:t>
            </w:r>
          </w:p>
          <w:p w:rsidR="00CA27D8" w:rsidRPr="003D77E9" w:rsidRDefault="00CA27D8" w:rsidP="00AB0AF1">
            <w:pPr>
              <w:autoSpaceDN w:val="0"/>
              <w:spacing w:line="254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</w:t>
            </w:r>
          </w:p>
          <w:p w:rsidR="00CA27D8" w:rsidRPr="003D77E9" w:rsidRDefault="00CA27D8" w:rsidP="00AB0AF1">
            <w:pPr>
              <w:autoSpaceDN w:val="0"/>
              <w:spacing w:line="254" w:lineRule="auto"/>
              <w:rPr>
                <w:color w:val="333333"/>
                <w:sz w:val="20"/>
                <w:szCs w:val="20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CA27D8" w:rsidRPr="00D75ED2" w:rsidRDefault="00CA27D8" w:rsidP="00AB0AF1">
            <w:pPr>
              <w:autoSpaceDN w:val="0"/>
              <w:spacing w:line="254" w:lineRule="auto"/>
              <w:ind w:left="-821" w:right="-256" w:firstLine="709"/>
              <w:jc w:val="center"/>
            </w:pPr>
            <w:r w:rsidRPr="00D75ED2">
              <w:rPr>
                <w:noProof/>
              </w:rPr>
              <w:drawing>
                <wp:inline distT="0" distB="0" distL="0" distR="0" wp14:anchorId="4F85C4B0" wp14:editId="59D7732C">
                  <wp:extent cx="1008459" cy="1200150"/>
                  <wp:effectExtent l="19050" t="0" r="1191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459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bottom w:val="single" w:sz="4" w:space="0" w:color="auto"/>
            </w:tcBorders>
            <w:hideMark/>
          </w:tcPr>
          <w:p w:rsidR="00CA27D8" w:rsidRDefault="00CA27D8" w:rsidP="00AB0AF1">
            <w:pPr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                             </w:t>
            </w:r>
          </w:p>
          <w:p w:rsidR="00CA27D8" w:rsidRDefault="00CA27D8" w:rsidP="00AB0AF1">
            <w:pPr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                            СОВЕТ</w:t>
            </w:r>
          </w:p>
          <w:p w:rsidR="00CA27D8" w:rsidRPr="003D77E9" w:rsidRDefault="00CA27D8" w:rsidP="00AB0AF1">
            <w:pPr>
              <w:autoSpaceDN w:val="0"/>
              <w:spacing w:line="256" w:lineRule="auto"/>
              <w:ind w:right="-83"/>
              <w:jc w:val="center"/>
            </w:pPr>
            <w:r w:rsidRPr="003D77E9">
              <w:t>СЕЛЬСКОГО ПОСЕЛЕНИЯ</w:t>
            </w:r>
          </w:p>
          <w:p w:rsidR="00CA27D8" w:rsidRPr="003D77E9" w:rsidRDefault="00CA27D8" w:rsidP="00AB0AF1">
            <w:pPr>
              <w:autoSpaceDN w:val="0"/>
              <w:spacing w:line="256" w:lineRule="auto"/>
              <w:jc w:val="center"/>
            </w:pPr>
            <w:r w:rsidRPr="003D77E9">
              <w:t>УРЬЯДИНСКИЙ</w:t>
            </w:r>
          </w:p>
          <w:p w:rsidR="00CA27D8" w:rsidRPr="003D77E9" w:rsidRDefault="00CA27D8" w:rsidP="00AB0AF1">
            <w:pPr>
              <w:autoSpaceDN w:val="0"/>
              <w:spacing w:line="256" w:lineRule="auto"/>
              <w:jc w:val="center"/>
            </w:pPr>
            <w:r w:rsidRPr="003D77E9">
              <w:t>СЕЛЬСОВЕТ</w:t>
            </w:r>
          </w:p>
          <w:p w:rsidR="00CA27D8" w:rsidRPr="003D77E9" w:rsidRDefault="00CA27D8" w:rsidP="00AB0AF1">
            <w:pPr>
              <w:autoSpaceDN w:val="0"/>
              <w:spacing w:line="256" w:lineRule="auto"/>
              <w:jc w:val="center"/>
            </w:pPr>
            <w:r w:rsidRPr="003D77E9">
              <w:t>МУНИЦИПАЛЬНОГО РАЙОНА</w:t>
            </w:r>
          </w:p>
          <w:p w:rsidR="00CA27D8" w:rsidRPr="003D77E9" w:rsidRDefault="00CA27D8" w:rsidP="00AB0AF1">
            <w:pPr>
              <w:autoSpaceDN w:val="0"/>
              <w:spacing w:line="256" w:lineRule="auto"/>
              <w:jc w:val="center"/>
            </w:pPr>
            <w:r w:rsidRPr="003D77E9">
              <w:t>МИШКИНСКИЙ РАЙОН</w:t>
            </w:r>
          </w:p>
          <w:p w:rsidR="00CA27D8" w:rsidRPr="003D77E9" w:rsidRDefault="00CA27D8" w:rsidP="00AB0AF1">
            <w:pPr>
              <w:autoSpaceDN w:val="0"/>
              <w:spacing w:line="256" w:lineRule="auto"/>
              <w:jc w:val="center"/>
            </w:pPr>
            <w:r w:rsidRPr="003D77E9">
              <w:t>РЕСПУБЛИКИ БАШКОРТОСТАН</w:t>
            </w:r>
          </w:p>
          <w:p w:rsidR="00CA27D8" w:rsidRPr="00D75ED2" w:rsidRDefault="00CA27D8" w:rsidP="00AB0AF1">
            <w:pPr>
              <w:autoSpaceDN w:val="0"/>
              <w:spacing w:line="254" w:lineRule="auto"/>
            </w:pPr>
            <w:r>
              <w:rPr>
                <w:color w:val="333333"/>
                <w:sz w:val="20"/>
                <w:szCs w:val="20"/>
              </w:rPr>
              <w:t xml:space="preserve">        </w:t>
            </w:r>
          </w:p>
          <w:p w:rsidR="00CA27D8" w:rsidRPr="00D75ED2" w:rsidRDefault="00CA27D8" w:rsidP="00AB0AF1">
            <w:pPr>
              <w:autoSpaceDN w:val="0"/>
              <w:spacing w:line="254" w:lineRule="auto"/>
              <w:jc w:val="center"/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CA27D8" w:rsidRDefault="00CA27D8" w:rsidP="00AB0AF1">
            <w:pPr>
              <w:rPr>
                <w:rFonts w:ascii="ER Bukinist Bashkir" w:hAnsi="ER Bukinist Bashkir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CA27D8" w:rsidRDefault="00CA27D8" w:rsidP="00AB0AF1">
            <w:pPr>
              <w:rPr>
                <w:rFonts w:ascii="ER Bukinist Bashkir" w:hAnsi="ER Bukinist Bashkir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CA27D8" w:rsidRDefault="00CA27D8" w:rsidP="00AB0AF1">
            <w:pPr>
              <w:rPr>
                <w:rFonts w:ascii="ER Bukinist Bashkir" w:hAnsi="ER Bukinist Bashkir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CA27D8" w:rsidRDefault="00CA27D8" w:rsidP="00AB0AF1">
            <w:pPr>
              <w:rPr>
                <w:rFonts w:ascii="ER Bukinist Bashkir" w:hAnsi="ER Bukinist Bashkir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CA27D8" w:rsidRDefault="00CA27D8" w:rsidP="00AB0AF1">
            <w:pPr>
              <w:rPr>
                <w:rFonts w:ascii="ER Bukinist Bashkir" w:hAnsi="ER Bukinist Bashkir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CA27D8" w:rsidRDefault="00CA27D8" w:rsidP="00AB0AF1">
            <w:pPr>
              <w:rPr>
                <w:rFonts w:ascii="ER Bukinist Bashkir" w:hAnsi="ER Bukinist Bashkir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CA27D8" w:rsidRDefault="00CA27D8" w:rsidP="00AB0AF1">
            <w:pPr>
              <w:rPr>
                <w:rFonts w:ascii="ER Bukinist Bashkir" w:hAnsi="ER Bukinist Bashkir"/>
              </w:rPr>
            </w:pPr>
          </w:p>
        </w:tc>
      </w:tr>
    </w:tbl>
    <w:p w:rsidR="00CA27D8" w:rsidRDefault="00CA27D8" w:rsidP="00CA27D8">
      <w:pPr>
        <w:ind w:left="-567" w:firstLine="567"/>
      </w:pPr>
    </w:p>
    <w:p w:rsidR="00CA27D8" w:rsidRDefault="00CA27D8" w:rsidP="00CA27D8">
      <w:pPr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 xml:space="preserve">КАРАР                                                                      </w:t>
      </w: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РЕШЕНИЕ</w:t>
      </w:r>
    </w:p>
    <w:p w:rsidR="00CA27D8" w:rsidRDefault="00CA27D8"/>
    <w:p w:rsidR="00CA27D8" w:rsidRDefault="00CA27D8" w:rsidP="00CA27D8"/>
    <w:p w:rsidR="00CA27D8" w:rsidRDefault="00CA27D8" w:rsidP="00CA27D8">
      <w:pPr>
        <w:tabs>
          <w:tab w:val="left" w:pos="915"/>
        </w:tabs>
        <w:jc w:val="center"/>
      </w:pPr>
      <w:r w:rsidRPr="00CA27D8">
        <w:rPr>
          <w:b/>
        </w:rPr>
        <w:t xml:space="preserve">Об утверждении Генерального плана Сельского поселения </w:t>
      </w:r>
      <w:proofErr w:type="spellStart"/>
      <w:r w:rsidRPr="00CA27D8">
        <w:rPr>
          <w:b/>
        </w:rPr>
        <w:t>Урьядинский</w:t>
      </w:r>
      <w:proofErr w:type="spellEnd"/>
      <w:r w:rsidRPr="00CA27D8">
        <w:rPr>
          <w:b/>
        </w:rPr>
        <w:t xml:space="preserve"> сельсовет муниципального района </w:t>
      </w:r>
      <w:proofErr w:type="spellStart"/>
      <w:r w:rsidRPr="00CA27D8">
        <w:rPr>
          <w:b/>
        </w:rPr>
        <w:t>Мишкинский</w:t>
      </w:r>
      <w:proofErr w:type="spellEnd"/>
      <w:r w:rsidRPr="00CA27D8">
        <w:rPr>
          <w:b/>
        </w:rPr>
        <w:t xml:space="preserve"> район республики Башкортостан</w:t>
      </w:r>
      <w:r w:rsidRPr="00CA27D8">
        <w:t>.</w:t>
      </w:r>
    </w:p>
    <w:p w:rsidR="00CA27D8" w:rsidRDefault="00CA27D8" w:rsidP="00CA27D8">
      <w:pPr>
        <w:tabs>
          <w:tab w:val="left" w:pos="915"/>
        </w:tabs>
        <w:jc w:val="center"/>
      </w:pPr>
    </w:p>
    <w:p w:rsidR="00CA27D8" w:rsidRDefault="00CA27D8" w:rsidP="00CA27D8">
      <w:pPr>
        <w:tabs>
          <w:tab w:val="left" w:pos="915"/>
        </w:tabs>
      </w:pPr>
    </w:p>
    <w:p w:rsidR="00CA27D8" w:rsidRDefault="00CA27D8" w:rsidP="00D62CBB">
      <w:pPr>
        <w:tabs>
          <w:tab w:val="left" w:pos="915"/>
        </w:tabs>
        <w:jc w:val="both"/>
      </w:pPr>
      <w:r>
        <w:t xml:space="preserve">       </w:t>
      </w:r>
      <w:r w:rsidR="00C84920">
        <w:t xml:space="preserve">  </w:t>
      </w:r>
      <w:r>
        <w:t xml:space="preserve">В соответствии с п.20 ч.1 ст.14 Федерального закона от 06.10.2003 №141-ФЗ «Об общих принципах организации местного самоуправления в Российской Федерации», ст.24 Градостроительного кодекса Российской Федерации, руководствуясь Уставом сельского поселения </w:t>
      </w:r>
      <w:proofErr w:type="spellStart"/>
      <w:r>
        <w:t>Урьядинский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 Республики Башкортостан, Совет сельского поселения </w:t>
      </w:r>
      <w:proofErr w:type="spellStart"/>
      <w:r>
        <w:t>Урьядинский</w:t>
      </w:r>
      <w:proofErr w:type="spellEnd"/>
      <w:r>
        <w:t xml:space="preserve"> </w:t>
      </w:r>
      <w:r>
        <w:t xml:space="preserve">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 Республики Башкортостан</w:t>
      </w:r>
      <w:r>
        <w:t xml:space="preserve"> РЕШИЛ:</w:t>
      </w:r>
    </w:p>
    <w:p w:rsidR="00CA27D8" w:rsidRDefault="00CA27D8" w:rsidP="00D62CBB">
      <w:pPr>
        <w:tabs>
          <w:tab w:val="left" w:pos="915"/>
        </w:tabs>
        <w:jc w:val="both"/>
      </w:pPr>
    </w:p>
    <w:p w:rsidR="00D62CBB" w:rsidRDefault="00C84920" w:rsidP="00C84920">
      <w:pPr>
        <w:tabs>
          <w:tab w:val="left" w:pos="915"/>
        </w:tabs>
        <w:jc w:val="both"/>
      </w:pPr>
      <w:r>
        <w:t xml:space="preserve">         1. </w:t>
      </w:r>
      <w:r w:rsidR="00CA27D8">
        <w:t>Утвердить Генеральный план сельского поселения</w:t>
      </w:r>
      <w:r w:rsidR="00D62CBB">
        <w:t xml:space="preserve"> </w:t>
      </w:r>
      <w:proofErr w:type="spellStart"/>
      <w:r w:rsidR="00D62CBB">
        <w:t>Урьядинский</w:t>
      </w:r>
      <w:proofErr w:type="spellEnd"/>
      <w:r w:rsidR="00D62CBB">
        <w:t xml:space="preserve"> </w:t>
      </w:r>
      <w:r w:rsidR="00D62CBB">
        <w:t>се</w:t>
      </w:r>
      <w:r>
        <w:t xml:space="preserve">льсовет </w:t>
      </w:r>
      <w:r w:rsidR="00D62CBB">
        <w:t xml:space="preserve">муниципального района </w:t>
      </w:r>
      <w:proofErr w:type="spellStart"/>
      <w:r w:rsidR="00D62CBB">
        <w:t>Мишкинский</w:t>
      </w:r>
      <w:proofErr w:type="spellEnd"/>
      <w:r w:rsidR="00D62CBB">
        <w:t xml:space="preserve"> район Республики Башкортостан</w:t>
      </w:r>
      <w:r w:rsidR="00D62CBB">
        <w:t>, согласно утвержденного проекта генерального плана, разработанного Обществом с ограниченной ответственностью «</w:t>
      </w:r>
      <w:proofErr w:type="spellStart"/>
      <w:r w:rsidR="00D62CBB">
        <w:t>Терпроект</w:t>
      </w:r>
      <w:proofErr w:type="spellEnd"/>
      <w:r w:rsidR="00D62CBB">
        <w:t>».</w:t>
      </w:r>
    </w:p>
    <w:p w:rsidR="00D62CBB" w:rsidRDefault="00D62CBB" w:rsidP="00D62CBB">
      <w:pPr>
        <w:tabs>
          <w:tab w:val="left" w:pos="915"/>
        </w:tabs>
        <w:ind w:left="360"/>
        <w:jc w:val="both"/>
      </w:pPr>
    </w:p>
    <w:p w:rsidR="00D62CBB" w:rsidRDefault="00C84920" w:rsidP="00C84920">
      <w:pPr>
        <w:tabs>
          <w:tab w:val="left" w:pos="915"/>
        </w:tabs>
        <w:jc w:val="both"/>
      </w:pPr>
      <w:r>
        <w:t xml:space="preserve">         2. </w:t>
      </w:r>
      <w:r w:rsidR="00D62CBB">
        <w:t xml:space="preserve">Настоящее решение обнародовать на информационном стенде в Администрации сельского поселения </w:t>
      </w:r>
      <w:proofErr w:type="spellStart"/>
      <w:r w:rsidR="00D62CBB">
        <w:t>Урьядинский</w:t>
      </w:r>
      <w:proofErr w:type="spellEnd"/>
      <w:r w:rsidR="00D62CBB">
        <w:t xml:space="preserve"> сельсовет муниципального района </w:t>
      </w:r>
      <w:proofErr w:type="spellStart"/>
      <w:r w:rsidR="00D62CBB">
        <w:t>Мишкинский</w:t>
      </w:r>
      <w:proofErr w:type="spellEnd"/>
      <w:r w:rsidR="00D62CBB">
        <w:t xml:space="preserve"> район Республики Башкортостан по адресу: </w:t>
      </w:r>
      <w:proofErr w:type="spellStart"/>
      <w:r w:rsidR="00D62CBB">
        <w:t>д.Урьяды</w:t>
      </w:r>
      <w:proofErr w:type="spellEnd"/>
      <w:r w:rsidR="00D62CBB">
        <w:t>, ул.Фатхинурова,22</w:t>
      </w:r>
    </w:p>
    <w:p w:rsidR="00D62CBB" w:rsidRDefault="00D62CBB" w:rsidP="00D62CBB">
      <w:pPr>
        <w:tabs>
          <w:tab w:val="left" w:pos="915"/>
        </w:tabs>
        <w:jc w:val="both"/>
      </w:pPr>
    </w:p>
    <w:p w:rsidR="00C84920" w:rsidRDefault="00C84920" w:rsidP="00C84920">
      <w:pPr>
        <w:tabs>
          <w:tab w:val="left" w:pos="915"/>
        </w:tabs>
        <w:ind w:left="360"/>
        <w:jc w:val="both"/>
      </w:pPr>
      <w:r>
        <w:t xml:space="preserve">   3. </w:t>
      </w:r>
      <w:r w:rsidR="00D62CBB">
        <w:t>Настоящее решение вступает в силу после официального обнародования.</w:t>
      </w:r>
    </w:p>
    <w:p w:rsidR="00C84920" w:rsidRPr="00C84920" w:rsidRDefault="00C84920" w:rsidP="00C84920"/>
    <w:p w:rsidR="00C84920" w:rsidRPr="00C84920" w:rsidRDefault="00C84920" w:rsidP="00C84920"/>
    <w:p w:rsidR="00C84920" w:rsidRDefault="00C84920" w:rsidP="00C84920"/>
    <w:p w:rsidR="00D62CBB" w:rsidRDefault="00C84920" w:rsidP="00C84920">
      <w:r>
        <w:t xml:space="preserve">Глава сельского поселения </w:t>
      </w:r>
      <w:proofErr w:type="spellStart"/>
      <w:r>
        <w:t>Урьядинский</w:t>
      </w:r>
      <w:proofErr w:type="spellEnd"/>
      <w:r>
        <w:t xml:space="preserve"> </w:t>
      </w:r>
    </w:p>
    <w:p w:rsidR="00C84920" w:rsidRDefault="00C84920" w:rsidP="00C84920">
      <w:r>
        <w:t>сельсовет муниципального района</w:t>
      </w:r>
    </w:p>
    <w:p w:rsidR="00C84920" w:rsidRDefault="00C84920" w:rsidP="00C84920">
      <w:proofErr w:type="spellStart"/>
      <w:r>
        <w:t>Мишкинский</w:t>
      </w:r>
      <w:proofErr w:type="spellEnd"/>
      <w:r>
        <w:t xml:space="preserve"> район</w:t>
      </w:r>
    </w:p>
    <w:p w:rsidR="00C84920" w:rsidRDefault="00C84920" w:rsidP="00C84920">
      <w:pPr>
        <w:tabs>
          <w:tab w:val="left" w:pos="6615"/>
        </w:tabs>
      </w:pPr>
      <w:r>
        <w:t>Республики Башкортостан</w:t>
      </w:r>
      <w:r>
        <w:tab/>
        <w:t xml:space="preserve">Р.Т. </w:t>
      </w:r>
      <w:proofErr w:type="spellStart"/>
      <w:r>
        <w:t>Загитов</w:t>
      </w:r>
      <w:proofErr w:type="spellEnd"/>
    </w:p>
    <w:p w:rsidR="00C84920" w:rsidRPr="00C84920" w:rsidRDefault="00C84920" w:rsidP="00C84920"/>
    <w:p w:rsidR="00C84920" w:rsidRPr="00C84920" w:rsidRDefault="00C84920" w:rsidP="00C84920"/>
    <w:p w:rsidR="00C84920" w:rsidRDefault="00C84920" w:rsidP="00C84920"/>
    <w:p w:rsidR="00C84920" w:rsidRDefault="00C84920" w:rsidP="00C84920">
      <w:proofErr w:type="spellStart"/>
      <w:r>
        <w:t>д.Урьяды</w:t>
      </w:r>
      <w:proofErr w:type="spellEnd"/>
    </w:p>
    <w:p w:rsidR="00C84920" w:rsidRDefault="00C84920" w:rsidP="00C84920">
      <w:r>
        <w:t>16 октября 2014 г.</w:t>
      </w:r>
    </w:p>
    <w:p w:rsidR="00C84920" w:rsidRPr="00C84920" w:rsidRDefault="00C84920" w:rsidP="00C84920">
      <w:r>
        <w:t>№ 268</w:t>
      </w:r>
      <w:bookmarkStart w:id="0" w:name="_GoBack"/>
      <w:bookmarkEnd w:id="0"/>
    </w:p>
    <w:sectPr w:rsidR="00C84920" w:rsidRPr="00C8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5177D"/>
    <w:multiLevelType w:val="hybridMultilevel"/>
    <w:tmpl w:val="92542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53A2A"/>
    <w:multiLevelType w:val="hybridMultilevel"/>
    <w:tmpl w:val="814E0968"/>
    <w:lvl w:ilvl="0" w:tplc="8D4C48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E2"/>
    <w:rsid w:val="00014A8E"/>
    <w:rsid w:val="00372BE2"/>
    <w:rsid w:val="00C84920"/>
    <w:rsid w:val="00CA27D8"/>
    <w:rsid w:val="00D6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6717"/>
  <w15:chartTrackingRefBased/>
  <w15:docId w15:val="{893AD217-102D-4171-9C21-11254593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7D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A2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2019-11-18T05:41:00Z</dcterms:created>
  <dcterms:modified xsi:type="dcterms:W3CDTF">2019-11-18T06:10:00Z</dcterms:modified>
</cp:coreProperties>
</file>